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D6D" w:rsidRDefault="009D1D6D" w:rsidP="009D1D6D">
      <w:pPr>
        <w:rPr>
          <w:sz w:val="24"/>
          <w:szCs w:val="24"/>
        </w:rPr>
      </w:pPr>
      <w:r>
        <w:rPr>
          <w:rFonts w:hint="eastAsia"/>
          <w:sz w:val="24"/>
          <w:szCs w:val="24"/>
        </w:rPr>
        <w:t>低体重出生が児の発達・情動性・学習能に及ぼす影響</w:t>
      </w:r>
    </w:p>
    <w:p w:rsidR="009D1D6D" w:rsidRDefault="009D1D6D" w:rsidP="009D1D6D">
      <w:pPr>
        <w:rPr>
          <w:sz w:val="24"/>
          <w:szCs w:val="24"/>
        </w:rPr>
      </w:pPr>
    </w:p>
    <w:p w:rsidR="009D1D6D" w:rsidRDefault="009D1D6D" w:rsidP="009D1D6D">
      <w:pPr>
        <w:rPr>
          <w:sz w:val="24"/>
          <w:szCs w:val="24"/>
        </w:rPr>
      </w:pPr>
      <w:r>
        <w:rPr>
          <w:rFonts w:hint="eastAsia"/>
          <w:sz w:val="24"/>
          <w:szCs w:val="24"/>
        </w:rPr>
        <w:t>竹森　久美子</w:t>
      </w:r>
      <w:r>
        <w:rPr>
          <w:sz w:val="24"/>
          <w:szCs w:val="24"/>
          <w:vertAlign w:val="superscript"/>
        </w:rPr>
        <w:t>1</w:t>
      </w:r>
      <w:r>
        <w:rPr>
          <w:rFonts w:hint="eastAsia"/>
          <w:sz w:val="24"/>
          <w:szCs w:val="24"/>
          <w:vertAlign w:val="superscript"/>
        </w:rPr>
        <w:t>，</w:t>
      </w:r>
      <w:r>
        <w:rPr>
          <w:sz w:val="24"/>
          <w:szCs w:val="24"/>
          <w:vertAlign w:val="superscript"/>
        </w:rPr>
        <w:t>2</w:t>
      </w:r>
      <w:r>
        <w:rPr>
          <w:rFonts w:hint="eastAsia"/>
          <w:sz w:val="24"/>
          <w:szCs w:val="24"/>
        </w:rPr>
        <w:t>，宮本　あんな</w:t>
      </w:r>
      <w:r>
        <w:rPr>
          <w:sz w:val="24"/>
          <w:szCs w:val="24"/>
          <w:vertAlign w:val="superscript"/>
        </w:rPr>
        <w:t>2</w:t>
      </w:r>
      <w:r>
        <w:rPr>
          <w:rFonts w:hint="eastAsia"/>
          <w:sz w:val="24"/>
          <w:szCs w:val="24"/>
        </w:rPr>
        <w:t>，松尾　拓哉</w:t>
      </w:r>
      <w:r>
        <w:rPr>
          <w:sz w:val="24"/>
          <w:szCs w:val="24"/>
          <w:vertAlign w:val="superscript"/>
        </w:rPr>
        <w:t>3</w:t>
      </w:r>
      <w:r>
        <w:rPr>
          <w:rFonts w:hint="eastAsia"/>
          <w:sz w:val="24"/>
          <w:szCs w:val="24"/>
        </w:rPr>
        <w:t>，巽　都香紗</w:t>
      </w:r>
      <w:r>
        <w:rPr>
          <w:sz w:val="24"/>
          <w:szCs w:val="24"/>
          <w:vertAlign w:val="superscript"/>
        </w:rPr>
        <w:t>2</w:t>
      </w:r>
      <w:r>
        <w:rPr>
          <w:rFonts w:hint="eastAsia"/>
          <w:sz w:val="24"/>
          <w:szCs w:val="24"/>
        </w:rPr>
        <w:t>，米谷　俊</w:t>
      </w:r>
      <w:r>
        <w:rPr>
          <w:sz w:val="24"/>
          <w:szCs w:val="24"/>
          <w:vertAlign w:val="superscript"/>
        </w:rPr>
        <w:t>1</w:t>
      </w:r>
      <w:r>
        <w:rPr>
          <w:rFonts w:hint="eastAsia"/>
          <w:sz w:val="24"/>
          <w:szCs w:val="24"/>
          <w:vertAlign w:val="superscript"/>
        </w:rPr>
        <w:t>，</w:t>
      </w:r>
      <w:r>
        <w:rPr>
          <w:sz w:val="24"/>
          <w:szCs w:val="24"/>
          <w:vertAlign w:val="superscript"/>
        </w:rPr>
        <w:t>2</w:t>
      </w:r>
    </w:p>
    <w:p w:rsidR="009D1D6D" w:rsidRDefault="009D1D6D" w:rsidP="009D1D6D">
      <w:pPr>
        <w:rPr>
          <w:rFonts w:ascii="ＭＳ 明朝" w:hAnsi="ＭＳ 明朝"/>
          <w:sz w:val="24"/>
          <w:szCs w:val="24"/>
        </w:rPr>
      </w:pPr>
      <w:r>
        <w:rPr>
          <w:sz w:val="24"/>
          <w:szCs w:val="24"/>
          <w:vertAlign w:val="superscript"/>
        </w:rPr>
        <w:t>1</w:t>
      </w:r>
      <w:r>
        <w:rPr>
          <w:rFonts w:ascii="ＭＳ 明朝" w:hAnsi="ＭＳ 明朝" w:hint="eastAsia"/>
          <w:sz w:val="24"/>
          <w:szCs w:val="24"/>
        </w:rPr>
        <w:t>近畿大学農学部食品栄養学科，</w:t>
      </w:r>
      <w:r>
        <w:rPr>
          <w:sz w:val="24"/>
          <w:szCs w:val="24"/>
          <w:vertAlign w:val="superscript"/>
        </w:rPr>
        <w:t>2</w:t>
      </w:r>
      <w:r>
        <w:rPr>
          <w:rFonts w:ascii="ＭＳ 明朝" w:hAnsi="ＭＳ 明朝" w:hint="eastAsia"/>
          <w:sz w:val="24"/>
          <w:szCs w:val="24"/>
        </w:rPr>
        <w:t>近畿大学大学院農学研究科応用生命化学専攻</w:t>
      </w:r>
    </w:p>
    <w:p w:rsidR="009D1D6D" w:rsidRDefault="009D1D6D" w:rsidP="009D1D6D">
      <w:pPr>
        <w:rPr>
          <w:sz w:val="24"/>
          <w:szCs w:val="24"/>
        </w:rPr>
      </w:pPr>
      <w:r>
        <w:rPr>
          <w:sz w:val="24"/>
          <w:szCs w:val="24"/>
          <w:vertAlign w:val="superscript"/>
        </w:rPr>
        <w:t>3</w:t>
      </w:r>
      <w:r>
        <w:rPr>
          <w:rFonts w:ascii="ＭＳ 明朝" w:hAnsi="ＭＳ 明朝" w:hint="eastAsia"/>
          <w:sz w:val="24"/>
          <w:szCs w:val="24"/>
        </w:rPr>
        <w:t>近畿大学医学部情報システムセンター</w:t>
      </w:r>
    </w:p>
    <w:p w:rsidR="009D1D6D" w:rsidRDefault="009D1D6D" w:rsidP="009D1D6D">
      <w:pPr>
        <w:rPr>
          <w:sz w:val="24"/>
          <w:szCs w:val="24"/>
        </w:rPr>
      </w:pPr>
    </w:p>
    <w:p w:rsidR="009D1D6D" w:rsidRDefault="009D1D6D" w:rsidP="009D1D6D">
      <w:pPr>
        <w:rPr>
          <w:sz w:val="24"/>
          <w:szCs w:val="24"/>
        </w:rPr>
      </w:pPr>
      <w:r>
        <w:rPr>
          <w:rFonts w:hint="eastAsia"/>
          <w:sz w:val="24"/>
          <w:szCs w:val="24"/>
        </w:rPr>
        <w:t>【目的】，</w:t>
      </w:r>
      <w:r w:rsidR="008C3A47">
        <w:rPr>
          <w:rFonts w:hint="eastAsia"/>
          <w:sz w:val="24"/>
          <w:szCs w:val="24"/>
        </w:rPr>
        <w:t>近年，</w:t>
      </w:r>
      <w:r>
        <w:rPr>
          <w:rFonts w:hint="eastAsia"/>
          <w:sz w:val="24"/>
          <w:szCs w:val="24"/>
        </w:rPr>
        <w:t>発達障害のある子どもが増加しており，</w:t>
      </w:r>
      <w:r w:rsidR="008C3A47">
        <w:rPr>
          <w:rFonts w:hint="eastAsia"/>
          <w:sz w:val="24"/>
          <w:szCs w:val="24"/>
        </w:rPr>
        <w:t>教育や医療や福祉の現場では</w:t>
      </w:r>
      <w:r w:rsidR="008C3A47">
        <w:rPr>
          <w:rFonts w:hint="eastAsia"/>
          <w:sz w:val="24"/>
          <w:szCs w:val="24"/>
        </w:rPr>
        <w:t>問題視されている。</w:t>
      </w:r>
      <w:r>
        <w:rPr>
          <w:rFonts w:hint="eastAsia"/>
          <w:sz w:val="24"/>
          <w:szCs w:val="24"/>
        </w:rPr>
        <w:t>その原因の一つとして，胎児環境変化による低出生体重児の増加が挙げられている。</w:t>
      </w:r>
      <w:r>
        <w:rPr>
          <w:sz w:val="24"/>
          <w:szCs w:val="24"/>
        </w:rPr>
        <w:t>1980</w:t>
      </w:r>
      <w:r>
        <w:rPr>
          <w:rFonts w:hint="eastAsia"/>
          <w:sz w:val="24"/>
          <w:szCs w:val="24"/>
        </w:rPr>
        <w:t>年以降，日本では低出生体重児（生体重が</w:t>
      </w:r>
      <w:r>
        <w:rPr>
          <w:sz w:val="24"/>
          <w:szCs w:val="24"/>
        </w:rPr>
        <w:t>2,500g</w:t>
      </w:r>
      <w:r>
        <w:rPr>
          <w:rFonts w:hint="eastAsia"/>
          <w:sz w:val="24"/>
          <w:szCs w:val="24"/>
        </w:rPr>
        <w:t>未満）の割合が急増し，児の発</w:t>
      </w:r>
      <w:r w:rsidR="008C3A47">
        <w:rPr>
          <w:rFonts w:hint="eastAsia"/>
          <w:sz w:val="24"/>
          <w:szCs w:val="24"/>
        </w:rPr>
        <w:t>達への悪影響が指摘されている。しかし，その影響に関する研究</w:t>
      </w:r>
      <w:r>
        <w:rPr>
          <w:rFonts w:hint="eastAsia"/>
          <w:sz w:val="24"/>
          <w:szCs w:val="24"/>
        </w:rPr>
        <w:t>は未だ乏しい。本研究は低出生体重児モデルラットを作成し，発達・情動性・学習能を正常ラットと比較検討を行った。</w:t>
      </w:r>
    </w:p>
    <w:p w:rsidR="009D1D6D" w:rsidRDefault="009D1D6D" w:rsidP="009D1D6D">
      <w:pPr>
        <w:rPr>
          <w:sz w:val="24"/>
          <w:szCs w:val="24"/>
        </w:rPr>
      </w:pPr>
      <w:r>
        <w:rPr>
          <w:rFonts w:hint="eastAsia"/>
          <w:sz w:val="24"/>
          <w:szCs w:val="24"/>
        </w:rPr>
        <w:t>【方法】生後</w:t>
      </w:r>
      <w:r>
        <w:rPr>
          <w:sz w:val="24"/>
          <w:szCs w:val="24"/>
        </w:rPr>
        <w:t>10</w:t>
      </w:r>
      <w:r>
        <w:rPr>
          <w:rFonts w:hint="eastAsia"/>
          <w:sz w:val="24"/>
          <w:szCs w:val="24"/>
        </w:rPr>
        <w:t>週齢の雌雄</w:t>
      </w:r>
      <w:proofErr w:type="spellStart"/>
      <w:r>
        <w:rPr>
          <w:sz w:val="24"/>
          <w:szCs w:val="24"/>
        </w:rPr>
        <w:t>Wistar</w:t>
      </w:r>
      <w:proofErr w:type="spellEnd"/>
      <w:r>
        <w:rPr>
          <w:sz w:val="24"/>
          <w:szCs w:val="24"/>
        </w:rPr>
        <w:t xml:space="preserve"> rat</w:t>
      </w:r>
      <w:r>
        <w:rPr>
          <w:rFonts w:hint="eastAsia"/>
          <w:sz w:val="24"/>
          <w:szCs w:val="24"/>
        </w:rPr>
        <w:t>を用いた。母獣の妊娠確定日から出産確認日までの期間，対照群（</w:t>
      </w:r>
      <w:r>
        <w:rPr>
          <w:sz w:val="24"/>
          <w:szCs w:val="24"/>
        </w:rPr>
        <w:t>CON</w:t>
      </w:r>
      <w:r>
        <w:rPr>
          <w:rFonts w:hint="eastAsia"/>
          <w:sz w:val="24"/>
          <w:szCs w:val="24"/>
        </w:rPr>
        <w:t>）には市販飼料（</w:t>
      </w:r>
      <w:r>
        <w:rPr>
          <w:sz w:val="24"/>
          <w:szCs w:val="24"/>
        </w:rPr>
        <w:t>D12450B</w:t>
      </w:r>
      <w:r>
        <w:rPr>
          <w:rFonts w:hint="eastAsia"/>
          <w:sz w:val="24"/>
          <w:szCs w:val="24"/>
        </w:rPr>
        <w:t>：リサーチダイエット社）を自由摂取，低栄養群（</w:t>
      </w:r>
      <w:r>
        <w:rPr>
          <w:sz w:val="24"/>
          <w:szCs w:val="24"/>
        </w:rPr>
        <w:t>UN</w:t>
      </w:r>
      <w:r>
        <w:rPr>
          <w:rFonts w:hint="eastAsia"/>
          <w:sz w:val="24"/>
          <w:szCs w:val="24"/>
        </w:rPr>
        <w:t>）には</w:t>
      </w:r>
      <w:r>
        <w:rPr>
          <w:sz w:val="24"/>
          <w:szCs w:val="24"/>
        </w:rPr>
        <w:t>CON</w:t>
      </w:r>
      <w:r>
        <w:rPr>
          <w:rFonts w:hint="eastAsia"/>
          <w:sz w:val="24"/>
          <w:szCs w:val="24"/>
        </w:rPr>
        <w:t>摂餌量の半量の飼料を与えた。生後</w:t>
      </w:r>
      <w:r>
        <w:rPr>
          <w:sz w:val="24"/>
          <w:szCs w:val="24"/>
        </w:rPr>
        <w:t>3</w:t>
      </w:r>
      <w:r>
        <w:rPr>
          <w:rFonts w:hint="eastAsia"/>
          <w:sz w:val="24"/>
          <w:szCs w:val="24"/>
        </w:rPr>
        <w:t>週齢で離乳後，両群の児には市販飼料を自由摂取させた。</w:t>
      </w:r>
      <w:r>
        <w:rPr>
          <w:rFonts w:ascii="Arial" w:hAnsi="Arial" w:cs="Arial" w:hint="eastAsia"/>
          <w:sz w:val="24"/>
          <w:szCs w:val="24"/>
          <w:shd w:val="clear" w:color="auto" w:fill="FFFFFF"/>
        </w:rPr>
        <w:t>形態的及び機能的発達の</w:t>
      </w:r>
      <w:r w:rsidR="008C3A47">
        <w:rPr>
          <w:rFonts w:hint="eastAsia"/>
          <w:sz w:val="24"/>
          <w:szCs w:val="24"/>
        </w:rPr>
        <w:t>指標である耳介展開</w:t>
      </w:r>
      <w:r>
        <w:rPr>
          <w:rFonts w:hint="eastAsia"/>
          <w:sz w:val="24"/>
          <w:szCs w:val="24"/>
        </w:rPr>
        <w:t>（生後</w:t>
      </w:r>
      <w:r>
        <w:rPr>
          <w:sz w:val="24"/>
          <w:szCs w:val="24"/>
        </w:rPr>
        <w:t>3</w:t>
      </w:r>
      <w:r w:rsidR="008C3A47">
        <w:rPr>
          <w:rFonts w:hint="eastAsia"/>
          <w:sz w:val="24"/>
          <w:szCs w:val="24"/>
        </w:rPr>
        <w:t>日），平面立ち直り反射</w:t>
      </w:r>
      <w:r>
        <w:rPr>
          <w:rFonts w:hint="eastAsia"/>
          <w:sz w:val="24"/>
          <w:szCs w:val="24"/>
        </w:rPr>
        <w:t>（生後</w:t>
      </w:r>
      <w:r>
        <w:rPr>
          <w:sz w:val="24"/>
          <w:szCs w:val="24"/>
        </w:rPr>
        <w:t>5</w:t>
      </w:r>
      <w:r w:rsidR="008C3A47">
        <w:rPr>
          <w:rFonts w:hint="eastAsia"/>
          <w:sz w:val="24"/>
          <w:szCs w:val="24"/>
        </w:rPr>
        <w:t>日），背地走性反射</w:t>
      </w:r>
      <w:r>
        <w:rPr>
          <w:rFonts w:hint="eastAsia"/>
          <w:sz w:val="24"/>
          <w:szCs w:val="24"/>
        </w:rPr>
        <w:t>（生後</w:t>
      </w:r>
      <w:r>
        <w:rPr>
          <w:sz w:val="24"/>
          <w:szCs w:val="24"/>
        </w:rPr>
        <w:t>7</w:t>
      </w:r>
      <w:r w:rsidR="008C3A47">
        <w:rPr>
          <w:rFonts w:hint="eastAsia"/>
          <w:sz w:val="24"/>
          <w:szCs w:val="24"/>
        </w:rPr>
        <w:t>日），開眼</w:t>
      </w:r>
      <w:r>
        <w:rPr>
          <w:rFonts w:hint="eastAsia"/>
          <w:sz w:val="24"/>
          <w:szCs w:val="24"/>
        </w:rPr>
        <w:t>（生後</w:t>
      </w:r>
      <w:r>
        <w:rPr>
          <w:sz w:val="24"/>
          <w:szCs w:val="24"/>
        </w:rPr>
        <w:t>15</w:t>
      </w:r>
      <w:r>
        <w:rPr>
          <w:rFonts w:hint="eastAsia"/>
          <w:sz w:val="24"/>
          <w:szCs w:val="24"/>
        </w:rPr>
        <w:t>日）</w:t>
      </w:r>
      <w:r w:rsidR="008C3A47">
        <w:rPr>
          <w:rFonts w:hint="eastAsia"/>
          <w:sz w:val="24"/>
          <w:szCs w:val="24"/>
        </w:rPr>
        <w:t>の観察</w:t>
      </w:r>
      <w:r>
        <w:rPr>
          <w:rFonts w:hint="eastAsia"/>
          <w:sz w:val="24"/>
          <w:szCs w:val="24"/>
        </w:rPr>
        <w:t>を行うとともに，</w:t>
      </w:r>
      <w:r>
        <w:rPr>
          <w:rFonts w:ascii="Arial" w:hAnsi="Arial" w:cs="Arial" w:hint="eastAsia"/>
          <w:sz w:val="24"/>
          <w:szCs w:val="24"/>
          <w:shd w:val="clear" w:color="auto" w:fill="FFFFFF"/>
        </w:rPr>
        <w:t>活動量や情動性を測定する</w:t>
      </w:r>
      <w:r>
        <w:rPr>
          <w:rFonts w:hint="eastAsia"/>
          <w:sz w:val="24"/>
          <w:szCs w:val="24"/>
        </w:rPr>
        <w:t>オープンフィールド試験（</w:t>
      </w:r>
      <w:r>
        <w:rPr>
          <w:sz w:val="24"/>
          <w:szCs w:val="24"/>
        </w:rPr>
        <w:t>6</w:t>
      </w:r>
      <w:r>
        <w:rPr>
          <w:rFonts w:hint="eastAsia"/>
          <w:sz w:val="24"/>
          <w:szCs w:val="24"/>
        </w:rPr>
        <w:t>週齢），学習能を評価する条件回避反応試験（</w:t>
      </w:r>
      <w:r>
        <w:rPr>
          <w:sz w:val="24"/>
          <w:szCs w:val="24"/>
        </w:rPr>
        <w:t>11</w:t>
      </w:r>
      <w:r>
        <w:rPr>
          <w:rFonts w:hint="eastAsia"/>
          <w:sz w:val="24"/>
          <w:szCs w:val="24"/>
        </w:rPr>
        <w:t>－</w:t>
      </w:r>
      <w:r>
        <w:rPr>
          <w:sz w:val="24"/>
          <w:szCs w:val="24"/>
        </w:rPr>
        <w:t>14</w:t>
      </w:r>
      <w:r>
        <w:rPr>
          <w:rFonts w:hint="eastAsia"/>
          <w:sz w:val="24"/>
          <w:szCs w:val="24"/>
        </w:rPr>
        <w:t>週齢）を実施した。</w:t>
      </w:r>
    </w:p>
    <w:p w:rsidR="009D1D6D" w:rsidRDefault="009D1D6D" w:rsidP="009D1D6D">
      <w:pPr>
        <w:rPr>
          <w:sz w:val="24"/>
          <w:szCs w:val="24"/>
        </w:rPr>
      </w:pPr>
      <w:r>
        <w:rPr>
          <w:rFonts w:hint="eastAsia"/>
          <w:sz w:val="24"/>
          <w:szCs w:val="24"/>
        </w:rPr>
        <w:t>【結果】体重は，出生から</w:t>
      </w:r>
      <w:r>
        <w:rPr>
          <w:sz w:val="24"/>
          <w:szCs w:val="24"/>
        </w:rPr>
        <w:t>10</w:t>
      </w:r>
      <w:r>
        <w:rPr>
          <w:rFonts w:hint="eastAsia"/>
          <w:sz w:val="24"/>
          <w:szCs w:val="24"/>
        </w:rPr>
        <w:t>週齢時まで</w:t>
      </w:r>
      <w:r>
        <w:rPr>
          <w:sz w:val="24"/>
          <w:szCs w:val="24"/>
        </w:rPr>
        <w:t>CON</w:t>
      </w:r>
      <w:r>
        <w:rPr>
          <w:rFonts w:hint="eastAsia"/>
          <w:sz w:val="24"/>
          <w:szCs w:val="24"/>
        </w:rPr>
        <w:t>群に比べ</w:t>
      </w:r>
      <w:r>
        <w:rPr>
          <w:sz w:val="24"/>
          <w:szCs w:val="24"/>
        </w:rPr>
        <w:t>UN</w:t>
      </w:r>
      <w:r>
        <w:rPr>
          <w:rFonts w:hint="eastAsia"/>
          <w:sz w:val="24"/>
          <w:szCs w:val="24"/>
        </w:rPr>
        <w:t>群で有意に低値を示したが，</w:t>
      </w:r>
      <w:r>
        <w:rPr>
          <w:sz w:val="24"/>
          <w:szCs w:val="24"/>
        </w:rPr>
        <w:t>catch-up growth</w:t>
      </w:r>
      <w:r>
        <w:rPr>
          <w:rFonts w:hint="eastAsia"/>
          <w:sz w:val="24"/>
          <w:szCs w:val="24"/>
        </w:rPr>
        <w:t>が生じ，</w:t>
      </w:r>
      <w:r>
        <w:rPr>
          <w:sz w:val="24"/>
          <w:szCs w:val="24"/>
        </w:rPr>
        <w:t>11</w:t>
      </w:r>
      <w:r>
        <w:rPr>
          <w:rFonts w:hint="eastAsia"/>
          <w:sz w:val="24"/>
          <w:szCs w:val="24"/>
        </w:rPr>
        <w:t>週齢時</w:t>
      </w:r>
      <w:r>
        <w:rPr>
          <w:sz w:val="24"/>
          <w:szCs w:val="24"/>
        </w:rPr>
        <w:t>CON</w:t>
      </w:r>
      <w:r>
        <w:rPr>
          <w:rFonts w:hint="eastAsia"/>
          <w:sz w:val="24"/>
          <w:szCs w:val="24"/>
        </w:rPr>
        <w:t>と同程度の体重に到達した。</w:t>
      </w:r>
      <w:r>
        <w:rPr>
          <w:sz w:val="24"/>
          <w:szCs w:val="24"/>
        </w:rPr>
        <w:t>UN</w:t>
      </w:r>
      <w:r>
        <w:rPr>
          <w:rFonts w:hint="eastAsia"/>
          <w:sz w:val="24"/>
          <w:szCs w:val="24"/>
        </w:rPr>
        <w:t>群は</w:t>
      </w:r>
      <w:r>
        <w:rPr>
          <w:sz w:val="24"/>
          <w:szCs w:val="24"/>
        </w:rPr>
        <w:t>CON</w:t>
      </w:r>
      <w:r>
        <w:rPr>
          <w:rFonts w:hint="eastAsia"/>
          <w:sz w:val="24"/>
          <w:szCs w:val="24"/>
        </w:rPr>
        <w:t>群に比べ耳介展開率，背地走性反射の達成率が有意に低く，発達遅延が見られた。オープンフィールド試験では，</w:t>
      </w:r>
      <w:r>
        <w:rPr>
          <w:sz w:val="24"/>
          <w:szCs w:val="24"/>
        </w:rPr>
        <w:t>UN</w:t>
      </w:r>
      <w:r>
        <w:rPr>
          <w:rFonts w:hint="eastAsia"/>
          <w:sz w:val="24"/>
          <w:szCs w:val="24"/>
        </w:rPr>
        <w:t>群の不安感の指標である排便数が多く，立ち上がり数が少ない傾向を示した。条件回避反応試験は，実施</w:t>
      </w:r>
      <w:r>
        <w:rPr>
          <w:sz w:val="24"/>
          <w:szCs w:val="24"/>
        </w:rPr>
        <w:t>1</w:t>
      </w:r>
      <w:r>
        <w:rPr>
          <w:rFonts w:hint="eastAsia"/>
          <w:sz w:val="24"/>
          <w:szCs w:val="24"/>
        </w:rPr>
        <w:t>日目に</w:t>
      </w:r>
      <w:r>
        <w:rPr>
          <w:sz w:val="24"/>
          <w:szCs w:val="24"/>
        </w:rPr>
        <w:t>UN</w:t>
      </w:r>
      <w:r>
        <w:rPr>
          <w:rFonts w:hint="eastAsia"/>
          <w:sz w:val="24"/>
          <w:szCs w:val="24"/>
        </w:rPr>
        <w:t>群で回避率が低値を示し，</w:t>
      </w:r>
      <w:r>
        <w:rPr>
          <w:sz w:val="24"/>
          <w:szCs w:val="24"/>
        </w:rPr>
        <w:t>2</w:t>
      </w:r>
      <w:r>
        <w:rPr>
          <w:rFonts w:hint="eastAsia"/>
          <w:sz w:val="24"/>
          <w:szCs w:val="24"/>
        </w:rPr>
        <w:t>日目以降も</w:t>
      </w:r>
      <w:r>
        <w:rPr>
          <w:sz w:val="24"/>
          <w:szCs w:val="24"/>
        </w:rPr>
        <w:t>CON</w:t>
      </w:r>
      <w:r>
        <w:rPr>
          <w:rFonts w:hint="eastAsia"/>
          <w:sz w:val="24"/>
          <w:szCs w:val="24"/>
        </w:rPr>
        <w:t>より低く推移した。</w:t>
      </w:r>
    </w:p>
    <w:p w:rsidR="00F9577F" w:rsidRPr="009D1D6D" w:rsidRDefault="009D1D6D">
      <w:pPr>
        <w:rPr>
          <w:sz w:val="24"/>
          <w:szCs w:val="24"/>
        </w:rPr>
      </w:pPr>
      <w:r>
        <w:rPr>
          <w:rFonts w:hint="eastAsia"/>
          <w:sz w:val="24"/>
          <w:szCs w:val="24"/>
        </w:rPr>
        <w:t>【結論】以上の結果から，低出生体重児では発達遅延が見られるとともに，強い不安感が活動性に影響を及ぼすことで，新規環境への適応や学習能力の低下をもたらす可能性が考えられた。</w:t>
      </w:r>
      <w:r w:rsidR="008C3A47">
        <w:rPr>
          <w:rFonts w:hint="eastAsia"/>
          <w:sz w:val="24"/>
          <w:szCs w:val="24"/>
        </w:rPr>
        <w:t xml:space="preserve">　　　　　　　　　</w:t>
      </w:r>
      <w:bookmarkStart w:id="0" w:name="_GoBack"/>
      <w:bookmarkEnd w:id="0"/>
    </w:p>
    <w:sectPr w:rsidR="00F9577F" w:rsidRPr="009D1D6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6D"/>
    <w:rsid w:val="00191681"/>
    <w:rsid w:val="008C3A47"/>
    <w:rsid w:val="009D1D6D"/>
    <w:rsid w:val="00F95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6D"/>
    <w:pPr>
      <w:widowControl w:val="0"/>
      <w:jc w:val="both"/>
    </w:pPr>
    <w:rPr>
      <w:rFonts w:ascii="Times New Roman" w:eastAsia="ＭＳ 明朝" w:hAnsi="Times New Roman"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6D"/>
    <w:pPr>
      <w:widowControl w:val="0"/>
      <w:jc w:val="both"/>
    </w:pPr>
    <w:rPr>
      <w:rFonts w:ascii="Times New Roman" w:eastAsia="ＭＳ 明朝" w:hAnsi="Times New Roman"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dc:creator>
  <cp:lastModifiedBy>kuri</cp:lastModifiedBy>
  <cp:revision>3</cp:revision>
  <cp:lastPrinted>2014-12-12T02:31:00Z</cp:lastPrinted>
  <dcterms:created xsi:type="dcterms:W3CDTF">2014-12-03T23:15:00Z</dcterms:created>
  <dcterms:modified xsi:type="dcterms:W3CDTF">2014-12-12T02:55:00Z</dcterms:modified>
</cp:coreProperties>
</file>